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0781C">
      <w:pPr>
        <w:pStyle w:val="2"/>
        <w:spacing w:before="280" w:after="160"/>
        <w:jc w:val="center"/>
        <w:rPr>
          <w:rFonts w:hint="eastAsia" w:cs="微软雅黑"/>
          <w:b/>
          <w:bCs/>
          <w:color w:val="1F4E79"/>
          <w:sz w:val="36"/>
          <w:szCs w:val="36"/>
          <w:lang w:val="en-US" w:eastAsia="zh-CN"/>
        </w:rPr>
      </w:pPr>
      <w:r>
        <w:rPr>
          <w:rFonts w:hint="eastAsia" w:cs="微软雅黑"/>
          <w:b/>
          <w:bCs/>
          <w:color w:val="1F4E79"/>
          <w:sz w:val="36"/>
          <w:szCs w:val="36"/>
          <w:lang w:val="en-US" w:eastAsia="zh-CN"/>
        </w:rPr>
        <w:t>竞争性磋商采购文件</w:t>
      </w:r>
    </w:p>
    <w:p w14:paraId="746F94A3">
      <w:pPr>
        <w:pStyle w:val="2"/>
        <w:spacing w:before="280" w:after="160"/>
        <w:rPr>
          <w:color w:val="auto"/>
        </w:rPr>
      </w:pPr>
      <w:r>
        <w:rPr>
          <w:rFonts w:hint="eastAsia" w:cs="微软雅黑"/>
          <w:b/>
          <w:bCs/>
          <w:color w:val="auto"/>
          <w:sz w:val="28"/>
          <w:szCs w:val="28"/>
          <w:lang w:val="en-US" w:eastAsia="zh-CN"/>
        </w:rPr>
        <w:t>一</w:t>
      </w:r>
      <w:r>
        <w:rPr>
          <w:rFonts w:ascii="微软雅黑" w:hAnsi="微软雅黑" w:eastAsia="微软雅黑" w:cs="微软雅黑"/>
          <w:b/>
          <w:bCs/>
          <w:color w:val="auto"/>
          <w:sz w:val="28"/>
          <w:szCs w:val="28"/>
        </w:rPr>
        <w:t>、磋商须知要点</w:t>
      </w:r>
    </w:p>
    <w:p w14:paraId="38541963">
      <w:pPr>
        <w:spacing w:after="90" w:line="300" w:lineRule="auto"/>
      </w:pPr>
      <w:r>
        <w:rPr>
          <w:rFonts w:ascii="微软雅黑" w:hAnsi="微软雅黑" w:eastAsia="微软雅黑" w:cs="微软雅黑"/>
          <w:b/>
          <w:bCs/>
          <w:color w:val="000000"/>
          <w:sz w:val="21"/>
          <w:szCs w:val="21"/>
        </w:rPr>
        <w:t>1. 响应文件：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正本1份、副本2份，逐页编码装订、正本逐页盖章，密封袋封口加盖公章并注明项目名称、供应商名称及“11月</w:t>
      </w:r>
      <w:r>
        <w:rPr>
          <w:rFonts w:hint="eastAsia" w:cs="微软雅黑"/>
          <w:color w:val="000000"/>
          <w:sz w:val="21"/>
          <w:szCs w:val="21"/>
          <w:lang w:val="en-US" w:eastAsia="zh-CN"/>
        </w:rPr>
        <w:t>2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日9:30前不得启封”。内容依次为：①</w:t>
      </w:r>
      <w:r>
        <w:rPr>
          <w:rFonts w:hint="eastAsia" w:cs="微软雅黑"/>
          <w:color w:val="000000"/>
          <w:sz w:val="21"/>
          <w:szCs w:val="21"/>
          <w:lang w:val="en-US" w:eastAsia="zh-CN"/>
        </w:rPr>
        <w:t>营业执照②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法定代表人身份证明</w:t>
      </w:r>
      <w:r>
        <w:rPr>
          <w:rFonts w:hint="eastAsia" w:cs="微软雅黑"/>
          <w:color w:val="000000"/>
          <w:sz w:val="21"/>
          <w:szCs w:val="21"/>
          <w:lang w:val="en-US" w:eastAsia="zh-CN"/>
        </w:rPr>
        <w:t>③2025年度财务报告④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2026年1月以来任意连续3个月依法纳税及社保缴费凭证</w:t>
      </w:r>
      <w:r>
        <w:rPr>
          <w:rFonts w:hint="eastAsia" w:cs="微软雅黑"/>
          <w:color w:val="000000"/>
          <w:sz w:val="21"/>
          <w:szCs w:val="21"/>
          <w:lang w:val="en-US" w:eastAsia="zh-CN"/>
        </w:rPr>
        <w:t>⑤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报价</w:t>
      </w:r>
      <w:r>
        <w:rPr>
          <w:rFonts w:hint="eastAsia" w:cs="微软雅黑"/>
          <w:color w:val="000000"/>
          <w:sz w:val="21"/>
          <w:szCs w:val="21"/>
          <w:lang w:val="en-US" w:eastAsia="zh-CN"/>
        </w:rPr>
        <w:t>单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及分项明细</w:t>
      </w:r>
      <w:r>
        <w:rPr>
          <w:rFonts w:hint="eastAsia" w:cs="微软雅黑"/>
          <w:color w:val="000000"/>
          <w:sz w:val="21"/>
          <w:szCs w:val="21"/>
          <w:lang w:val="en-US" w:eastAsia="zh-CN"/>
        </w:rPr>
        <w:t>⑥类似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业绩证明</w:t>
      </w:r>
      <w:r>
        <w:rPr>
          <w:rFonts w:hint="eastAsia" w:cs="微软雅黑"/>
          <w:color w:val="000000"/>
          <w:sz w:val="21"/>
          <w:szCs w:val="21"/>
          <w:lang w:val="en-US" w:eastAsia="zh-CN"/>
        </w:rPr>
        <w:t>⑦天眼查报告⑧信用中国报告⑨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关联关系披露承诺函。响应有效期为自递交截止之日起90日。</w:t>
      </w:r>
    </w:p>
    <w:p w14:paraId="1F918659">
      <w:pPr>
        <w:spacing w:after="90" w:line="300" w:lineRule="auto"/>
      </w:pPr>
      <w:r>
        <w:rPr>
          <w:rFonts w:ascii="微软雅黑" w:hAnsi="微软雅黑" w:eastAsia="微软雅黑" w:cs="微软雅黑"/>
          <w:b/>
          <w:bCs/>
          <w:color w:val="000000"/>
          <w:sz w:val="21"/>
          <w:szCs w:val="21"/>
        </w:rPr>
        <w:t>2. 报价要求：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报价为完成全部采购需求的一次性包干总价，含策划设计、材料制作、运输安装、高空作业措施、驻场维护、拆除恢复、人工差旅、保险、管理费、利润、税金等一切费用；未明示费用视为已包含。清单数量±10%以内调整不调整合同总价。</w:t>
      </w:r>
    </w:p>
    <w:p w14:paraId="0F92B193">
      <w:pPr>
        <w:spacing w:after="90" w:line="300" w:lineRule="auto"/>
      </w:pPr>
      <w:r>
        <w:rPr>
          <w:rFonts w:ascii="微软雅黑" w:hAnsi="微软雅黑" w:eastAsia="微软雅黑" w:cs="微软雅黑"/>
          <w:b/>
          <w:bCs/>
          <w:color w:val="000000"/>
          <w:sz w:val="21"/>
          <w:szCs w:val="21"/>
        </w:rPr>
        <w:t>3. 磋商与最后报价：</w:t>
      </w: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磋商以书面方式进行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；拒绝或未按时提交最后报价的，首次报价即为最后报价。</w:t>
      </w:r>
    </w:p>
    <w:p w14:paraId="110BDA1A">
      <w:pPr>
        <w:spacing w:after="90" w:line="300" w:lineRule="auto"/>
      </w:pPr>
      <w:r>
        <w:rPr>
          <w:rFonts w:ascii="微软雅黑" w:hAnsi="微软雅黑" w:eastAsia="微软雅黑" w:cs="微软雅黑"/>
          <w:b/>
          <w:bCs/>
          <w:color w:val="000000"/>
          <w:sz w:val="21"/>
          <w:szCs w:val="21"/>
        </w:rPr>
        <w:t>4. 无效响应情形：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未按要求密封签署盖章；资格不符；最后报价高于预算或高于首次报价；对采购需求负偏离；不同供应商响应文件异常一致或出自同一IP/设备</w:t>
      </w:r>
      <w:r>
        <w:rPr>
          <w:rFonts w:hint="eastAsia" w:cs="微软雅黑"/>
          <w:color w:val="000000"/>
          <w:sz w:val="21"/>
          <w:szCs w:val="21"/>
          <w:lang w:val="en-US" w:eastAsia="zh-CN"/>
        </w:rPr>
        <w:t>/邮箱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；隐瞒关联关系或串通、提供虚假材料；法律法规规定的其他情形。</w:t>
      </w:r>
    </w:p>
    <w:p w14:paraId="41451C5D">
      <w:pPr>
        <w:spacing w:after="90" w:line="300" w:lineRule="auto"/>
      </w:pPr>
      <w:r>
        <w:rPr>
          <w:rFonts w:ascii="微软雅黑" w:hAnsi="微软雅黑" w:eastAsia="微软雅黑" w:cs="微软雅黑"/>
          <w:b/>
          <w:bCs/>
          <w:color w:val="000000"/>
          <w:sz w:val="21"/>
          <w:szCs w:val="21"/>
        </w:rPr>
        <w:t>5. 签约：</w:t>
      </w:r>
      <w:r>
        <w:rPr>
          <w:rFonts w:ascii="微软雅黑" w:hAnsi="微软雅黑" w:eastAsia="微软雅黑" w:cs="微软雅黑"/>
          <w:color w:val="000000"/>
          <w:sz w:val="21"/>
          <w:szCs w:val="21"/>
        </w:rPr>
        <w:t>成交通知书发出后10日内签约。</w:t>
      </w:r>
    </w:p>
    <w:p w14:paraId="6217678C">
      <w:pPr>
        <w:pStyle w:val="2"/>
        <w:spacing w:before="280" w:after="160"/>
        <w:rPr>
          <w:color w:val="auto"/>
        </w:rPr>
      </w:pPr>
      <w:r>
        <w:rPr>
          <w:rFonts w:hint="eastAsia" w:cs="微软雅黑"/>
          <w:b/>
          <w:bCs/>
          <w:color w:val="auto"/>
          <w:sz w:val="28"/>
          <w:szCs w:val="28"/>
          <w:lang w:val="en-US" w:eastAsia="zh-CN"/>
        </w:rPr>
        <w:t>二</w:t>
      </w:r>
      <w:r>
        <w:rPr>
          <w:rFonts w:ascii="微软雅黑" w:hAnsi="微软雅黑" w:eastAsia="微软雅黑" w:cs="微软雅黑"/>
          <w:b/>
          <w:bCs/>
          <w:color w:val="auto"/>
          <w:sz w:val="28"/>
          <w:szCs w:val="28"/>
        </w:rPr>
        <w:t>、评分标准（综合评分法，满分100分）</w:t>
      </w:r>
    </w:p>
    <w:tbl>
      <w:tblPr>
        <w:tblStyle w:val="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1000"/>
        <w:gridCol w:w="5926"/>
      </w:tblGrid>
      <w:tr w14:paraId="37EF2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1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4772D7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8"/>
                <w:szCs w:val="18"/>
              </w:rPr>
              <w:t>评分项</w:t>
            </w:r>
          </w:p>
        </w:tc>
        <w:tc>
          <w:tcPr>
            <w:tcW w:w="1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CBF483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8"/>
                <w:szCs w:val="18"/>
              </w:rPr>
              <w:t>分值</w:t>
            </w:r>
          </w:p>
        </w:tc>
        <w:tc>
          <w:tcPr>
            <w:tcW w:w="592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B38A2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sz w:val="18"/>
                <w:szCs w:val="18"/>
              </w:rPr>
              <w:t>评分标准</w:t>
            </w:r>
          </w:p>
        </w:tc>
      </w:tr>
      <w:tr w14:paraId="7E0B9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41CD3F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>价格分</w:t>
            </w:r>
          </w:p>
        </w:tc>
        <w:tc>
          <w:tcPr>
            <w:tcW w:w="1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5189A6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92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925758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合格且最后报价最低者为基准价得满分；其余＝30×基准价÷最后报价（保留两位小数）</w:t>
            </w:r>
          </w:p>
        </w:tc>
      </w:tr>
      <w:tr w14:paraId="10FBA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965C29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>策划与设计方案</w:t>
            </w:r>
          </w:p>
        </w:tc>
        <w:tc>
          <w:tcPr>
            <w:tcW w:w="1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852FAA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92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5A266E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优17-20：主题契合、创意突出、效果图完整可落地；良12-16：契合且完整、创意一般；一般7-11；差0-6（偏离或不可落地）</w:t>
            </w:r>
          </w:p>
        </w:tc>
      </w:tr>
      <w:tr w14:paraId="6147B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A6174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>实施方案</w:t>
            </w:r>
          </w:p>
        </w:tc>
        <w:tc>
          <w:tcPr>
            <w:tcW w:w="1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7AC63F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92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E2F496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进度节点保障4分；制作安装工艺与质控5分；安全文明及高空作业措施4分；恶劣天气应急预案2分</w:t>
            </w:r>
          </w:p>
        </w:tc>
      </w:tr>
      <w:tr w14:paraId="1439C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E9ABE5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>人员配置</w:t>
            </w:r>
          </w:p>
        </w:tc>
        <w:tc>
          <w:tcPr>
            <w:tcW w:w="1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3279B2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92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0E027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项目负责人类似项目经验</w:t>
            </w:r>
            <w:r>
              <w:rPr>
                <w:rFonts w:hint="eastAsia" w:cs="微软雅黑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分；团队岗位齐备</w:t>
            </w:r>
            <w:r>
              <w:rPr>
                <w:rFonts w:hint="eastAsia" w:cs="微软雅黑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分；</w:t>
            </w:r>
          </w:p>
        </w:tc>
      </w:tr>
      <w:tr w14:paraId="2D901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14A8F3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>业绩案例</w:t>
            </w:r>
          </w:p>
        </w:tc>
        <w:tc>
          <w:tcPr>
            <w:tcW w:w="1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47CE70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92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92C92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2021年以来类似项目（合同</w:t>
            </w:r>
            <w:r>
              <w:rPr>
                <w:rFonts w:hint="eastAsia" w:cs="微软雅黑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关键信息</w:t>
            </w: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齐全）每个2.5分，4个封顶；政府或大型活动业绩每个加0.5分，加分后不超10分</w:t>
            </w:r>
          </w:p>
        </w:tc>
      </w:tr>
      <w:tr w14:paraId="51834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654407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>售后服务与质保</w:t>
            </w:r>
          </w:p>
        </w:tc>
        <w:tc>
          <w:tcPr>
            <w:tcW w:w="1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661A7D">
            <w:pPr>
              <w:spacing w:after="30" w:line="260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592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F7B50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驻场人数、响应时限、质保期优于文件要求酌情1-5分；达基本要求3分；低于要求为负偏离不得分</w:t>
            </w:r>
          </w:p>
        </w:tc>
      </w:tr>
      <w:tr w14:paraId="12EFE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CEA97D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>企业实力与信用</w:t>
            </w:r>
          </w:p>
        </w:tc>
        <w:tc>
          <w:tcPr>
            <w:tcW w:w="1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01BE8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592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BE1312">
            <w:pPr>
              <w:spacing w:after="30" w:line="260" w:lineRule="auto"/>
            </w:pPr>
            <w:r>
              <w:rPr>
                <w:rFonts w:ascii="微软雅黑" w:hAnsi="微软雅黑" w:eastAsia="微软雅黑" w:cs="微软雅黑"/>
                <w:b w:val="0"/>
                <w:bCs w:val="0"/>
                <w:color w:val="000000"/>
                <w:sz w:val="18"/>
                <w:szCs w:val="18"/>
              </w:rPr>
              <w:t>财务稳健；纳税信用A级2分、B级1分；无失信及不良记录3分</w:t>
            </w:r>
          </w:p>
        </w:tc>
      </w:tr>
    </w:tbl>
    <w:p w14:paraId="43D4578A">
      <w:pPr>
        <w:spacing w:after="100" w:line="300" w:lineRule="auto"/>
      </w:pPr>
      <w:r>
        <w:rPr>
          <w:rFonts w:ascii="微软雅黑" w:hAnsi="微软雅黑" w:eastAsia="微软雅黑" w:cs="微软雅黑"/>
          <w:color w:val="000000"/>
          <w:sz w:val="21"/>
          <w:szCs w:val="21"/>
        </w:rPr>
        <w:t>总得分相同时，最后报价低者优先；再相同，技术部分（策划设计＋实施方案）得分高者优先。评分材料以响应文件为准，磋商小组可要求原件核验；评审报告存档备查。</w:t>
      </w:r>
    </w:p>
    <w:p w14:paraId="37909267">
      <w:pPr>
        <w:pStyle w:val="2"/>
        <w:spacing w:before="280" w:after="160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</w:pPr>
      <w:bookmarkStart w:id="0" w:name="_GoBack"/>
      <w:bookmarkEnd w:id="0"/>
    </w:p>
    <w:p w14:paraId="1B899AD1">
      <w:pPr>
        <w:pStyle w:val="2"/>
        <w:spacing w:before="280" w:after="160"/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附件：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</w:rPr>
        <w:t>供应商关联关系及利益冲突披露承诺函（格式）</w:t>
      </w:r>
    </w:p>
    <w:p w14:paraId="59C4FA7E">
      <w:pPr>
        <w:spacing w:after="100" w:line="300" w:lineRule="auto"/>
        <w:jc w:val="center"/>
        <w:rPr>
          <w:rFonts w:hint="eastAsia"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</w:rPr>
        <w:t>供应商关联关系及利益冲突披露承诺函</w:t>
      </w:r>
    </w:p>
    <w:p w14:paraId="2FB18FEE">
      <w:pPr>
        <w:spacing w:after="100" w:line="300" w:lineRule="auto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致：新华网股份有限公司广西分公司</w:t>
      </w:r>
    </w:p>
    <w:p w14:paraId="35C166D8">
      <w:pPr>
        <w:spacing w:after="100" w:line="300" w:lineRule="auto"/>
        <w:ind w:firstLine="420" w:firstLineChars="200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我方承诺并披露：1.与其他参与本项目的供应商之间不存在单位负责人为同一人、直接控股或管理关系，不存在共用办公场所、联系人、电话、邮箱、设备人员或同一实际控制人等关联情形（含曾有的，已如实书面披露）；2.与采购人工作人员（含亲属）无影响公正性的利害关系；3.未与其他供应商协商串通报价方案，未从同一IP/设备编制其他供应商响应文件；4.关联事项如有变化在截止前补充披露。如有隐瞒或串通，我方接受响应无效、取消成交资格、列入不良行为记录、没收履约保证金及依法追责的全部后果。</w:t>
      </w:r>
    </w:p>
    <w:p w14:paraId="79C0550F">
      <w:pPr>
        <w:spacing w:after="100" w:line="300" w:lineRule="auto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披露明细（无则填“无”）：</w:t>
      </w:r>
    </w:p>
    <w:tbl>
      <w:tblPr>
        <w:tblStyle w:val="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6426"/>
      </w:tblGrid>
      <w:tr w14:paraId="0509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6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E23654">
            <w:pPr>
              <w:spacing w:after="30" w:line="260" w:lineRule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21"/>
                <w:szCs w:val="21"/>
              </w:rPr>
              <w:t>披露事项</w:t>
            </w:r>
          </w:p>
        </w:tc>
        <w:tc>
          <w:tcPr>
            <w:tcW w:w="642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B67213">
            <w:pPr>
              <w:spacing w:after="30" w:line="260" w:lineRule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/>
                <w:sz w:val="21"/>
                <w:szCs w:val="21"/>
              </w:rPr>
              <w:t>情况说明</w:t>
            </w:r>
          </w:p>
        </w:tc>
      </w:tr>
      <w:tr w14:paraId="20FAA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2EEF24">
            <w:pPr>
              <w:spacing w:after="30" w:line="260" w:lineRule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  <w:t>与其他参与供应商的关联</w:t>
            </w:r>
          </w:p>
        </w:tc>
        <w:tc>
          <w:tcPr>
            <w:tcW w:w="642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AAE335">
            <w:pPr>
              <w:spacing w:after="30" w:line="260" w:lineRule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  <w:t>【无 / 具体说明】</w:t>
            </w:r>
          </w:p>
        </w:tc>
      </w:tr>
      <w:tr w14:paraId="25CCE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CCFF8D">
            <w:pPr>
              <w:spacing w:after="30" w:line="260" w:lineRule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  <w:t>与采购人工作人员的利害关系</w:t>
            </w:r>
          </w:p>
        </w:tc>
        <w:tc>
          <w:tcPr>
            <w:tcW w:w="642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46411">
            <w:pPr>
              <w:spacing w:after="30" w:line="260" w:lineRule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  <w:t>【无 / 具体说明】</w:t>
            </w:r>
          </w:p>
        </w:tc>
      </w:tr>
    </w:tbl>
    <w:p w14:paraId="17EAB4A5">
      <w:pPr>
        <w:spacing w:after="100" w:line="30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供应商名称（公章）：　　　　　法定代表人/授权代表签字：　　　　　日期：　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　　　</w:t>
      </w:r>
    </w:p>
    <w:p w14:paraId="5D0D87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8712A"/>
    <w:rsid w:val="1358712A"/>
    <w:rsid w:val="7A85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微软雅黑" w:hAnsi="微软雅黑" w:eastAsia="微软雅黑" w:cs="微软雅黑"/>
      <w:sz w:val="21"/>
      <w:szCs w:val="21"/>
    </w:rPr>
  </w:style>
  <w:style w:type="paragraph" w:styleId="2">
    <w:name w:val="heading 1"/>
    <w:basedOn w:val="1"/>
    <w:next w:val="1"/>
    <w:qFormat/>
    <w:uiPriority w:val="0"/>
    <w:pPr>
      <w:spacing w:before="260" w:after="140"/>
      <w:outlineLvl w:val="0"/>
    </w:pPr>
    <w:rPr>
      <w:rFonts w:ascii="微软雅黑" w:hAnsi="微软雅黑" w:eastAsia="微软雅黑" w:cs="微软雅黑"/>
      <w:b/>
      <w:bCs/>
      <w:color w:val="1F4E79"/>
      <w:sz w:val="28"/>
      <w:szCs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广西分公司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2026-10-28T08:36:00Z</dcterms:created>
  <dc:creator>Administrator</dc:creator>
  <cp:lastModifiedBy>Administrator</cp:lastModifiedBy>
  <dcterms:modified xsi:type="dcterms:W3CDTF">2026-10-28T08:41:56Z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F501776405FA4A778D4CD76E8B429544_11</vt:lpwstr>
  </property>
</Properties>
</file>